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40C149E1" w:rsidR="00764CD0" w:rsidRPr="00C40F35" w:rsidRDefault="00B37E2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</w:t>
      </w:r>
      <w:r w:rsidR="001B1533">
        <w:rPr>
          <w:rFonts w:ascii="Arial" w:hAnsi="Arial" w:cs="Arial"/>
          <w:sz w:val="25"/>
          <w:szCs w:val="25"/>
        </w:rPr>
        <w:t>EMCO</w:t>
      </w:r>
      <w:r>
        <w:rPr>
          <w:rFonts w:ascii="Arial" w:hAnsi="Arial" w:cs="Arial"/>
          <w:sz w:val="25"/>
          <w:szCs w:val="25"/>
        </w:rPr>
        <w:t xml:space="preserve"> WHOLE MANDARIN SEGMENTS IN LIGHT SYRUP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4523D2">
        <w:rPr>
          <w:rFonts w:ascii="Arial" w:hAnsi="Arial" w:cs="Arial"/>
          <w:sz w:val="25"/>
          <w:szCs w:val="25"/>
        </w:rPr>
        <w:t>, Product of China</w:t>
      </w:r>
    </w:p>
    <w:p w14:paraId="108804AA" w14:textId="51140392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B07CD7">
        <w:rPr>
          <w:rFonts w:ascii="Arial" w:hAnsi="Arial" w:cs="Arial"/>
          <w:sz w:val="25"/>
          <w:szCs w:val="25"/>
        </w:rPr>
        <w:t>400754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14E12062" w:rsidR="005C00A4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Portions of segments which retain at least one half of the original size and segments whose area is less than one third whole segment should not be more than 10% of the drained weight.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5ADD9168" w:rsidR="00C81D5E" w:rsidRPr="00C40F35" w:rsidRDefault="00D846C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Mandarin Orange Segments</w:t>
      </w:r>
      <w:r w:rsidR="000D2BE9">
        <w:rPr>
          <w:rFonts w:ascii="Arial" w:hAnsi="Arial" w:cs="Arial"/>
          <w:sz w:val="25"/>
          <w:szCs w:val="25"/>
          <w:lang w:eastAsia="ja-JP"/>
        </w:rPr>
        <w:t>, Water, S</w:t>
      </w:r>
      <w:r>
        <w:rPr>
          <w:rFonts w:ascii="Arial" w:hAnsi="Arial" w:cs="Arial"/>
          <w:sz w:val="25"/>
          <w:szCs w:val="25"/>
          <w:lang w:eastAsia="ja-JP"/>
        </w:rPr>
        <w:t>ugar</w:t>
      </w:r>
      <w:r w:rsidR="000D2BE9">
        <w:rPr>
          <w:rFonts w:ascii="Arial" w:hAnsi="Arial" w:cs="Arial"/>
          <w:sz w:val="25"/>
          <w:szCs w:val="25"/>
          <w:lang w:eastAsia="ja-JP"/>
        </w:rPr>
        <w:t>, Citric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74DC2B4E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6B6D4F"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01AF722F" w14:textId="01202A90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00A4">
        <w:rPr>
          <w:rFonts w:ascii="Arial" w:hAnsi="Arial" w:cs="Arial"/>
          <w:sz w:val="25"/>
          <w:szCs w:val="25"/>
        </w:rPr>
        <w:t>Typical</w:t>
      </w:r>
    </w:p>
    <w:p w14:paraId="3218BB69" w14:textId="4A0D7961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5AC94EC0" w14:textId="62A953E2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</w:p>
    <w:p w14:paraId="3853224B" w14:textId="67DA3F6C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3.2 - </w:t>
      </w:r>
      <w:r w:rsidR="003F5C3D">
        <w:rPr>
          <w:rFonts w:ascii="Arial" w:hAnsi="Arial" w:cs="Arial"/>
          <w:sz w:val="25"/>
          <w:szCs w:val="25"/>
        </w:rPr>
        <w:t>4.0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1B1533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18646C9C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1,</w:t>
      </w:r>
      <w:r w:rsidR="007A646C">
        <w:rPr>
          <w:rFonts w:ascii="Arial" w:hAnsi="Arial" w:cs="Arial"/>
          <w:sz w:val="25"/>
          <w:szCs w:val="25"/>
        </w:rPr>
        <w:t>743</w:t>
      </w:r>
      <w:r w:rsidRPr="00C40F35">
        <w:rPr>
          <w:rFonts w:ascii="Arial" w:hAnsi="Arial" w:cs="Arial"/>
          <w:sz w:val="25"/>
          <w:szCs w:val="25"/>
        </w:rPr>
        <w:t>g (</w:t>
      </w:r>
      <w:r w:rsidR="00D846CE">
        <w:rPr>
          <w:rFonts w:ascii="Arial" w:hAnsi="Arial" w:cs="Arial"/>
          <w:sz w:val="25"/>
          <w:szCs w:val="25"/>
        </w:rPr>
        <w:t>61.48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B1533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523D2"/>
    <w:rsid w:val="00470AD5"/>
    <w:rsid w:val="00477BBC"/>
    <w:rsid w:val="00490BC6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07CD7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C26FB"/>
    <w:rsid w:val="00BD4EDD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5</cp:revision>
  <cp:lastPrinted>2019-09-12T14:24:00Z</cp:lastPrinted>
  <dcterms:created xsi:type="dcterms:W3CDTF">2021-10-18T13:32:00Z</dcterms:created>
  <dcterms:modified xsi:type="dcterms:W3CDTF">2023-06-28T13:55:00Z</dcterms:modified>
</cp:coreProperties>
</file>